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BF7C" w14:textId="0C3BBC54" w:rsidR="00893893" w:rsidRDefault="00B33BA1" w:rsidP="00B33BA1">
      <w:pPr>
        <w:jc w:val="center"/>
        <w:rPr>
          <w:b/>
          <w:bCs/>
        </w:rPr>
      </w:pPr>
      <w:r w:rsidRPr="00B33BA1">
        <w:rPr>
          <w:b/>
          <w:bCs/>
        </w:rPr>
        <w:t xml:space="preserve">2022 Asia Council “Teaching Across the Curriculum” Faculty Development Workshop – Friday, </w:t>
      </w:r>
      <w:r w:rsidR="00812A48">
        <w:rPr>
          <w:b/>
          <w:bCs/>
        </w:rPr>
        <w:t>April</w:t>
      </w:r>
      <w:r w:rsidRPr="00B33BA1">
        <w:rPr>
          <w:b/>
          <w:bCs/>
        </w:rPr>
        <w:t xml:space="preserve"> 1</w:t>
      </w:r>
    </w:p>
    <w:p w14:paraId="5F815771" w14:textId="00046983" w:rsidR="00347EF8" w:rsidRDefault="00347EF8" w:rsidP="00B33BA1">
      <w:pPr>
        <w:jc w:val="center"/>
        <w:rPr>
          <w:b/>
          <w:bCs/>
        </w:rPr>
      </w:pPr>
    </w:p>
    <w:p w14:paraId="445089CD" w14:textId="131DF2F5" w:rsidR="00347EF8" w:rsidRPr="00CB6B13" w:rsidRDefault="00CB6B13" w:rsidP="00CB6B13">
      <w:pPr>
        <w:pStyle w:val="ListParagraph"/>
        <w:numPr>
          <w:ilvl w:val="0"/>
          <w:numId w:val="1"/>
        </w:numPr>
      </w:pPr>
      <w:r w:rsidRPr="00CB6B13">
        <w:t>Not all topics have formal titles yet.</w:t>
      </w:r>
    </w:p>
    <w:p w14:paraId="7EFE5B5F" w14:textId="0B3E1976" w:rsidR="00CB6B13" w:rsidRDefault="00CB6B13" w:rsidP="00CB6B13">
      <w:pPr>
        <w:pStyle w:val="ListParagraph"/>
        <w:numPr>
          <w:ilvl w:val="0"/>
          <w:numId w:val="1"/>
        </w:numPr>
      </w:pPr>
      <w:r w:rsidRPr="00CB6B13">
        <w:t>Once all descriptions and bios are submitted, I’ll edit them to be approximately the same length.</w:t>
      </w:r>
    </w:p>
    <w:p w14:paraId="686372FF" w14:textId="5F6B1E13" w:rsidR="00AD1F54" w:rsidRPr="00CB6B13" w:rsidRDefault="00AD1F54" w:rsidP="00CB6B13">
      <w:pPr>
        <w:pStyle w:val="ListParagraph"/>
        <w:numPr>
          <w:ilvl w:val="0"/>
          <w:numId w:val="1"/>
        </w:numPr>
      </w:pPr>
      <w:r>
        <w:t>The Asia Council member who recruited the four additional speakers are highlighted (this is for council reference only; it will not be included in the program).</w:t>
      </w:r>
    </w:p>
    <w:p w14:paraId="6FD60907" w14:textId="0125501A" w:rsidR="00CB08F0" w:rsidRDefault="00CB08F0" w:rsidP="00CB08F0">
      <w:pPr>
        <w:rPr>
          <w:b/>
          <w:bCs/>
        </w:rPr>
      </w:pPr>
    </w:p>
    <w:tbl>
      <w:tblPr>
        <w:tblStyle w:val="TableGrid"/>
        <w:tblW w:w="14395" w:type="dxa"/>
        <w:tblLook w:val="04A0" w:firstRow="1" w:lastRow="0" w:firstColumn="1" w:lastColumn="0" w:noHBand="0" w:noVBand="1"/>
      </w:tblPr>
      <w:tblGrid>
        <w:gridCol w:w="4798"/>
        <w:gridCol w:w="4798"/>
        <w:gridCol w:w="4799"/>
      </w:tblGrid>
      <w:tr w:rsidR="00347EF8" w14:paraId="47C7E209" w14:textId="77777777" w:rsidTr="00190B1F">
        <w:tc>
          <w:tcPr>
            <w:tcW w:w="4798" w:type="dxa"/>
          </w:tcPr>
          <w:p w14:paraId="2BFC33BF" w14:textId="45904176" w:rsidR="00347EF8" w:rsidRDefault="00347EF8" w:rsidP="00CB08F0">
            <w:pPr>
              <w:jc w:val="center"/>
              <w:rPr>
                <w:rFonts w:asciiTheme="minorHAnsi" w:hAnsiTheme="minorHAnsi" w:cstheme="minorHAnsi"/>
                <w:b/>
                <w:bCs/>
                <w:color w:val="FF0000"/>
                <w:sz w:val="22"/>
                <w:szCs w:val="22"/>
              </w:rPr>
            </w:pPr>
            <w:r w:rsidRPr="00E81E5E">
              <w:rPr>
                <w:rFonts w:asciiTheme="minorHAnsi" w:hAnsiTheme="minorHAnsi" w:cstheme="minorHAnsi"/>
                <w:b/>
                <w:bCs/>
                <w:color w:val="FF0000"/>
                <w:sz w:val="22"/>
                <w:szCs w:val="22"/>
              </w:rPr>
              <w:t>TITLE</w:t>
            </w:r>
            <w:r w:rsidR="003214AB">
              <w:rPr>
                <w:rFonts w:asciiTheme="minorHAnsi" w:hAnsiTheme="minorHAnsi" w:cstheme="minorHAnsi"/>
                <w:b/>
                <w:bCs/>
                <w:color w:val="FF0000"/>
                <w:sz w:val="22"/>
                <w:szCs w:val="22"/>
              </w:rPr>
              <w:t xml:space="preserve">, or </w:t>
            </w:r>
            <w:r w:rsidR="003214AB" w:rsidRPr="00E81E5E">
              <w:rPr>
                <w:rFonts w:asciiTheme="minorHAnsi" w:hAnsiTheme="minorHAnsi" w:cstheme="minorHAnsi"/>
                <w:b/>
                <w:bCs/>
                <w:color w:val="FF0000"/>
                <w:sz w:val="22"/>
                <w:szCs w:val="22"/>
              </w:rPr>
              <w:t xml:space="preserve">TOPIC </w:t>
            </w:r>
            <w:r w:rsidR="003214AB">
              <w:rPr>
                <w:rFonts w:asciiTheme="minorHAnsi" w:hAnsiTheme="minorHAnsi" w:cstheme="minorHAnsi"/>
                <w:b/>
                <w:bCs/>
                <w:color w:val="FF0000"/>
                <w:sz w:val="22"/>
                <w:szCs w:val="22"/>
              </w:rPr>
              <w:t>if formal title not yet submitted</w:t>
            </w:r>
          </w:p>
          <w:p w14:paraId="02DC4304" w14:textId="3749F9AD" w:rsidR="00E81E5E" w:rsidRPr="00E81E5E" w:rsidRDefault="00E81E5E" w:rsidP="00CB08F0">
            <w:pPr>
              <w:jc w:val="center"/>
              <w:rPr>
                <w:rFonts w:asciiTheme="minorHAnsi" w:hAnsiTheme="minorHAnsi" w:cstheme="minorHAnsi"/>
                <w:b/>
                <w:bCs/>
                <w:color w:val="FF0000"/>
                <w:sz w:val="10"/>
                <w:szCs w:val="10"/>
              </w:rPr>
            </w:pPr>
          </w:p>
        </w:tc>
        <w:tc>
          <w:tcPr>
            <w:tcW w:w="4798" w:type="dxa"/>
          </w:tcPr>
          <w:p w14:paraId="57039611" w14:textId="5FB8223B" w:rsidR="00347EF8" w:rsidRPr="00E81E5E" w:rsidRDefault="00347EF8" w:rsidP="00CB08F0">
            <w:pPr>
              <w:jc w:val="center"/>
              <w:rPr>
                <w:rFonts w:asciiTheme="minorHAnsi" w:hAnsiTheme="minorHAnsi" w:cstheme="minorHAnsi"/>
                <w:b/>
                <w:bCs/>
                <w:color w:val="FF0000"/>
                <w:sz w:val="22"/>
                <w:szCs w:val="22"/>
              </w:rPr>
            </w:pPr>
            <w:r w:rsidRPr="00E81E5E">
              <w:rPr>
                <w:rFonts w:asciiTheme="minorHAnsi" w:hAnsiTheme="minorHAnsi" w:cstheme="minorHAnsi"/>
                <w:b/>
                <w:bCs/>
                <w:color w:val="FF0000"/>
                <w:sz w:val="22"/>
                <w:szCs w:val="22"/>
              </w:rPr>
              <w:t>DESCRIPTION</w:t>
            </w:r>
          </w:p>
        </w:tc>
        <w:tc>
          <w:tcPr>
            <w:tcW w:w="4799" w:type="dxa"/>
          </w:tcPr>
          <w:p w14:paraId="1B6689F9" w14:textId="192D4C52" w:rsidR="00347EF8" w:rsidRPr="00E81E5E" w:rsidRDefault="00347EF8" w:rsidP="00CB08F0">
            <w:pPr>
              <w:jc w:val="center"/>
              <w:rPr>
                <w:rFonts w:asciiTheme="minorHAnsi" w:hAnsiTheme="minorHAnsi" w:cstheme="minorHAnsi"/>
                <w:b/>
                <w:bCs/>
                <w:color w:val="FF0000"/>
                <w:sz w:val="22"/>
                <w:szCs w:val="22"/>
              </w:rPr>
            </w:pPr>
            <w:r w:rsidRPr="00E81E5E">
              <w:rPr>
                <w:rFonts w:asciiTheme="minorHAnsi" w:hAnsiTheme="minorHAnsi" w:cstheme="minorHAnsi"/>
                <w:b/>
                <w:bCs/>
                <w:color w:val="FF0000"/>
                <w:sz w:val="22"/>
                <w:szCs w:val="22"/>
              </w:rPr>
              <w:t xml:space="preserve"> SPEAKER BIO</w:t>
            </w:r>
          </w:p>
        </w:tc>
      </w:tr>
      <w:tr w:rsidR="00347EF8" w14:paraId="651985CA" w14:textId="77777777" w:rsidTr="00190B1F">
        <w:tc>
          <w:tcPr>
            <w:tcW w:w="4798" w:type="dxa"/>
          </w:tcPr>
          <w:p w14:paraId="31E13BF9" w14:textId="1FFBA836" w:rsidR="00347EF8" w:rsidRPr="003D6B4A" w:rsidRDefault="00347EF8" w:rsidP="00CB08F0">
            <w:pPr>
              <w:rPr>
                <w:rFonts w:asciiTheme="minorHAnsi" w:hAnsiTheme="minorHAnsi" w:cstheme="minorHAnsi"/>
                <w:b/>
                <w:bCs/>
                <w:sz w:val="22"/>
                <w:szCs w:val="22"/>
              </w:rPr>
            </w:pPr>
            <w:r w:rsidRPr="003D6B4A">
              <w:rPr>
                <w:rFonts w:asciiTheme="minorHAnsi" w:hAnsiTheme="minorHAnsi" w:cstheme="minorHAnsi"/>
                <w:b/>
                <w:bCs/>
                <w:sz w:val="22"/>
                <w:szCs w:val="22"/>
              </w:rPr>
              <w:t>Women’s Issues in India</w:t>
            </w:r>
          </w:p>
        </w:tc>
        <w:tc>
          <w:tcPr>
            <w:tcW w:w="4798" w:type="dxa"/>
          </w:tcPr>
          <w:p w14:paraId="28C68BE3" w14:textId="536AFE56" w:rsidR="00347EF8" w:rsidRPr="003D6B4A" w:rsidRDefault="00347EF8" w:rsidP="00CB08F0">
            <w:pPr>
              <w:rPr>
                <w:rFonts w:asciiTheme="minorHAnsi" w:hAnsiTheme="minorHAnsi" w:cstheme="minorHAnsi"/>
                <w:sz w:val="22"/>
                <w:szCs w:val="22"/>
              </w:rPr>
            </w:pPr>
          </w:p>
        </w:tc>
        <w:tc>
          <w:tcPr>
            <w:tcW w:w="4799" w:type="dxa"/>
          </w:tcPr>
          <w:p w14:paraId="5219B3D2" w14:textId="77777777" w:rsidR="00347EF8" w:rsidRPr="003D6B4A" w:rsidRDefault="00347EF8" w:rsidP="00347EF8">
            <w:pPr>
              <w:rPr>
                <w:rFonts w:asciiTheme="minorHAnsi" w:hAnsiTheme="minorHAnsi" w:cstheme="minorHAnsi"/>
                <w:sz w:val="22"/>
                <w:szCs w:val="22"/>
              </w:rPr>
            </w:pPr>
            <w:r w:rsidRPr="003D6B4A">
              <w:rPr>
                <w:rFonts w:asciiTheme="minorHAnsi" w:hAnsiTheme="minorHAnsi" w:cstheme="minorHAnsi"/>
                <w:sz w:val="22"/>
                <w:szCs w:val="22"/>
              </w:rPr>
              <w:t>Salli Vargis</w:t>
            </w:r>
          </w:p>
          <w:p w14:paraId="5C192F85" w14:textId="77777777" w:rsidR="00347EF8" w:rsidRPr="003D6B4A" w:rsidRDefault="00347EF8" w:rsidP="00347EF8">
            <w:pPr>
              <w:rPr>
                <w:rFonts w:asciiTheme="minorHAnsi" w:hAnsiTheme="minorHAnsi" w:cstheme="minorHAnsi"/>
                <w:sz w:val="22"/>
                <w:szCs w:val="22"/>
              </w:rPr>
            </w:pPr>
            <w:r w:rsidRPr="003D6B4A">
              <w:rPr>
                <w:rFonts w:asciiTheme="minorHAnsi" w:hAnsiTheme="minorHAnsi" w:cstheme="minorHAnsi"/>
                <w:sz w:val="22"/>
                <w:szCs w:val="22"/>
              </w:rPr>
              <w:t>GSU Perimeter College</w:t>
            </w:r>
          </w:p>
          <w:p w14:paraId="3967FB1E" w14:textId="31DBE627" w:rsidR="005171BD" w:rsidRPr="003D6B4A" w:rsidRDefault="005171BD" w:rsidP="00347EF8">
            <w:pPr>
              <w:rPr>
                <w:rFonts w:asciiTheme="minorHAnsi" w:hAnsiTheme="minorHAnsi" w:cstheme="minorHAnsi"/>
                <w:sz w:val="22"/>
                <w:szCs w:val="22"/>
              </w:rPr>
            </w:pPr>
          </w:p>
        </w:tc>
      </w:tr>
      <w:tr w:rsidR="00347EF8" w14:paraId="1AC09F6A" w14:textId="77777777" w:rsidTr="00190B1F">
        <w:tc>
          <w:tcPr>
            <w:tcW w:w="4798" w:type="dxa"/>
          </w:tcPr>
          <w:p w14:paraId="4502BF94" w14:textId="77777777" w:rsidR="00347EF8" w:rsidRDefault="00347EF8" w:rsidP="00CB08F0">
            <w:pPr>
              <w:rPr>
                <w:rFonts w:asciiTheme="minorHAnsi" w:hAnsiTheme="minorHAnsi" w:cstheme="minorHAnsi"/>
                <w:b/>
                <w:bCs/>
                <w:sz w:val="22"/>
                <w:szCs w:val="22"/>
                <w:lang w:val="en-CA"/>
              </w:rPr>
            </w:pPr>
            <w:r w:rsidRPr="003D6B4A">
              <w:rPr>
                <w:rFonts w:asciiTheme="minorHAnsi" w:hAnsiTheme="minorHAnsi" w:cstheme="minorHAnsi"/>
                <w:b/>
                <w:bCs/>
                <w:sz w:val="22"/>
                <w:szCs w:val="22"/>
                <w:lang w:val="en-CA"/>
              </w:rPr>
              <w:t>Youth, Freelance Work, and the Politics of State Support in Japan During the Covid-19 Pandemic: leveraging digital resources for research and teaching </w:t>
            </w:r>
          </w:p>
          <w:p w14:paraId="5FFE9A65" w14:textId="77777777" w:rsidR="001354CC" w:rsidRDefault="001354CC" w:rsidP="00CB08F0">
            <w:pPr>
              <w:rPr>
                <w:rFonts w:asciiTheme="minorHAnsi" w:hAnsiTheme="minorHAnsi" w:cstheme="minorHAnsi"/>
                <w:b/>
                <w:bCs/>
                <w:sz w:val="22"/>
                <w:szCs w:val="22"/>
                <w:lang w:val="en-CA"/>
              </w:rPr>
            </w:pPr>
          </w:p>
          <w:p w14:paraId="1F2E72B2" w14:textId="5B181466" w:rsidR="001354CC" w:rsidRPr="001354CC" w:rsidRDefault="001354CC" w:rsidP="00CB08F0">
            <w:pPr>
              <w:rPr>
                <w:rFonts w:asciiTheme="minorHAnsi" w:hAnsiTheme="minorHAnsi" w:cstheme="minorHAnsi"/>
                <w:sz w:val="22"/>
                <w:szCs w:val="22"/>
              </w:rPr>
            </w:pPr>
            <w:r w:rsidRPr="001354CC">
              <w:rPr>
                <w:rFonts w:asciiTheme="minorHAnsi" w:hAnsiTheme="minorHAnsi" w:cstheme="minorHAnsi"/>
                <w:sz w:val="22"/>
                <w:szCs w:val="22"/>
                <w:highlight w:val="yellow"/>
                <w:lang w:val="en-CA"/>
              </w:rPr>
              <w:t xml:space="preserve">Invited by </w:t>
            </w:r>
            <w:proofErr w:type="spellStart"/>
            <w:r w:rsidRPr="001354CC">
              <w:rPr>
                <w:rFonts w:asciiTheme="minorHAnsi" w:hAnsiTheme="minorHAnsi" w:cstheme="minorHAnsi"/>
                <w:sz w:val="22"/>
                <w:szCs w:val="22"/>
                <w:highlight w:val="yellow"/>
                <w:lang w:val="en-CA"/>
              </w:rPr>
              <w:t>Sungshin</w:t>
            </w:r>
            <w:proofErr w:type="spellEnd"/>
            <w:r w:rsidRPr="001354CC">
              <w:rPr>
                <w:rFonts w:asciiTheme="minorHAnsi" w:hAnsiTheme="minorHAnsi" w:cstheme="minorHAnsi"/>
                <w:sz w:val="22"/>
                <w:szCs w:val="22"/>
                <w:highlight w:val="yellow"/>
                <w:lang w:val="en-CA"/>
              </w:rPr>
              <w:t xml:space="preserve"> Kim</w:t>
            </w:r>
          </w:p>
        </w:tc>
        <w:tc>
          <w:tcPr>
            <w:tcW w:w="4798" w:type="dxa"/>
          </w:tcPr>
          <w:p w14:paraId="53F2E81C" w14:textId="352F05C5" w:rsidR="00347EF8" w:rsidRPr="003D6B4A" w:rsidRDefault="00347EF8" w:rsidP="00CB08F0">
            <w:pPr>
              <w:rPr>
                <w:rFonts w:asciiTheme="minorHAnsi" w:hAnsiTheme="minorHAnsi" w:cstheme="minorHAnsi"/>
                <w:sz w:val="22"/>
                <w:szCs w:val="22"/>
              </w:rPr>
            </w:pPr>
            <w:r w:rsidRPr="003D6B4A">
              <w:rPr>
                <w:rFonts w:asciiTheme="minorHAnsi" w:hAnsiTheme="minorHAnsi" w:cstheme="minorHAnsi"/>
                <w:sz w:val="22"/>
                <w:szCs w:val="22"/>
                <w:lang w:val="en-CA"/>
              </w:rPr>
              <w:t>This presentation will showcase my recent research on how the Covid-19 pandemic has disrupted the working lives of Japanese freelance workers. The presentation is based on a paper published as part of a special issue of the </w:t>
            </w:r>
            <w:r w:rsidRPr="003D6B4A">
              <w:rPr>
                <w:rFonts w:asciiTheme="minorHAnsi" w:hAnsiTheme="minorHAnsi" w:cstheme="minorHAnsi"/>
                <w:i/>
                <w:iCs/>
                <w:sz w:val="22"/>
                <w:szCs w:val="22"/>
                <w:lang w:val="en-CA"/>
              </w:rPr>
              <w:t>Asia Pacific Journal: Japan Focus</w:t>
            </w:r>
            <w:r w:rsidRPr="003D6B4A">
              <w:rPr>
                <w:rFonts w:asciiTheme="minorHAnsi" w:hAnsiTheme="minorHAnsi" w:cstheme="minorHAnsi"/>
                <w:sz w:val="22"/>
                <w:szCs w:val="22"/>
                <w:lang w:val="en-CA"/>
              </w:rPr>
              <w:t> on how vulnerable populations have been impacted by the pandemic. Early in the pandemic, as businesses adapted to the crisis by instructing their employees to work remotely, many freelancers discovered that their existing contracts were cut short. The availability of work that they took for granted disappeared. New jobs, often with higher personal risk and less specialized skills, emerged in its place. The presentation, therefore, examines some of the political critiques freelance workers began articulating about their experiences in the labor market in a time of crisis. Moreover, the presentation will show how research published through peer-reviewed online journals provides an immediate and vital commentary on contemporary pressing social issues in East Asia. The open accessibility of online journals provides an important resource for instructors to incorporate new teaching materials into their undergraduate courses to augment and update existing course materials.  </w:t>
            </w:r>
          </w:p>
        </w:tc>
        <w:tc>
          <w:tcPr>
            <w:tcW w:w="4799" w:type="dxa"/>
          </w:tcPr>
          <w:p w14:paraId="6A8C2E86" w14:textId="77777777" w:rsidR="00E508E6" w:rsidRPr="003D6B4A" w:rsidRDefault="00347EF8" w:rsidP="00347EF8">
            <w:pPr>
              <w:pStyle w:val="NormalWeb"/>
              <w:rPr>
                <w:rFonts w:asciiTheme="minorHAnsi" w:hAnsiTheme="minorHAnsi" w:cstheme="minorHAnsi"/>
                <w:lang w:val="en-CA"/>
              </w:rPr>
            </w:pPr>
            <w:r w:rsidRPr="003D6B4A">
              <w:rPr>
                <w:rFonts w:asciiTheme="minorHAnsi" w:hAnsiTheme="minorHAnsi" w:cstheme="minorHAnsi"/>
                <w:lang w:val="en-CA"/>
              </w:rPr>
              <w:t xml:space="preserve">Robin </w:t>
            </w:r>
            <w:proofErr w:type="spellStart"/>
            <w:r w:rsidRPr="003D6B4A">
              <w:rPr>
                <w:rFonts w:asciiTheme="minorHAnsi" w:hAnsiTheme="minorHAnsi" w:cstheme="minorHAnsi"/>
                <w:lang w:val="en-CA"/>
              </w:rPr>
              <w:t>O'Day</w:t>
            </w:r>
            <w:proofErr w:type="spellEnd"/>
          </w:p>
          <w:p w14:paraId="35E641D9" w14:textId="77777777" w:rsidR="00E508E6" w:rsidRPr="003D6B4A" w:rsidRDefault="00347EF8" w:rsidP="00347EF8">
            <w:pPr>
              <w:pStyle w:val="NormalWeb"/>
              <w:rPr>
                <w:rFonts w:asciiTheme="minorHAnsi" w:hAnsiTheme="minorHAnsi" w:cstheme="minorHAnsi"/>
                <w:lang w:val="en-CA"/>
              </w:rPr>
            </w:pPr>
            <w:r w:rsidRPr="003D6B4A">
              <w:rPr>
                <w:rFonts w:asciiTheme="minorHAnsi" w:hAnsiTheme="minorHAnsi" w:cstheme="minorHAnsi"/>
                <w:lang w:val="en-CA"/>
              </w:rPr>
              <w:t xml:space="preserve">Associate Professor of Anthropology </w:t>
            </w:r>
          </w:p>
          <w:p w14:paraId="0305E20F" w14:textId="77777777" w:rsidR="00E508E6" w:rsidRPr="003D6B4A" w:rsidRDefault="00347EF8" w:rsidP="00347EF8">
            <w:pPr>
              <w:pStyle w:val="NormalWeb"/>
              <w:rPr>
                <w:rFonts w:asciiTheme="minorHAnsi" w:hAnsiTheme="minorHAnsi" w:cstheme="minorHAnsi"/>
                <w:lang w:val="en-CA"/>
              </w:rPr>
            </w:pPr>
            <w:r w:rsidRPr="003D6B4A">
              <w:rPr>
                <w:rFonts w:asciiTheme="minorHAnsi" w:hAnsiTheme="minorHAnsi" w:cstheme="minorHAnsi"/>
                <w:lang w:val="en-CA"/>
              </w:rPr>
              <w:t xml:space="preserve">University of North Georgia. </w:t>
            </w:r>
          </w:p>
          <w:p w14:paraId="7EEB5BC8" w14:textId="77777777" w:rsidR="00E508E6" w:rsidRPr="003D6B4A" w:rsidRDefault="00E508E6" w:rsidP="00347EF8">
            <w:pPr>
              <w:pStyle w:val="NormalWeb"/>
              <w:rPr>
                <w:rFonts w:asciiTheme="minorHAnsi" w:hAnsiTheme="minorHAnsi" w:cstheme="minorHAnsi"/>
                <w:lang w:val="en-CA"/>
              </w:rPr>
            </w:pPr>
          </w:p>
          <w:p w14:paraId="78291039" w14:textId="493397DE" w:rsidR="00347EF8" w:rsidRPr="003D6B4A" w:rsidRDefault="00E508E6" w:rsidP="00347EF8">
            <w:pPr>
              <w:pStyle w:val="NormalWeb"/>
              <w:rPr>
                <w:rFonts w:asciiTheme="minorHAnsi" w:hAnsiTheme="minorHAnsi" w:cstheme="minorHAnsi"/>
              </w:rPr>
            </w:pPr>
            <w:proofErr w:type="spellStart"/>
            <w:r w:rsidRPr="003D6B4A">
              <w:rPr>
                <w:rFonts w:asciiTheme="minorHAnsi" w:hAnsiTheme="minorHAnsi" w:cstheme="minorHAnsi"/>
                <w:lang w:val="en-CA"/>
              </w:rPr>
              <w:t>O’Day</w:t>
            </w:r>
            <w:proofErr w:type="spellEnd"/>
            <w:r w:rsidRPr="003D6B4A">
              <w:rPr>
                <w:rFonts w:asciiTheme="minorHAnsi" w:hAnsiTheme="minorHAnsi" w:cstheme="minorHAnsi"/>
                <w:lang w:val="en-CA"/>
              </w:rPr>
              <w:t xml:space="preserve"> </w:t>
            </w:r>
            <w:r w:rsidR="00347EF8" w:rsidRPr="003D6B4A">
              <w:rPr>
                <w:rFonts w:asciiTheme="minorHAnsi" w:hAnsiTheme="minorHAnsi" w:cstheme="minorHAnsi"/>
                <w:lang w:val="en-CA"/>
              </w:rPr>
              <w:t>is a cultural anthropologist focusing on contemporary Japanese culture and society. He has conducted ethnographic research and published in the areas of Japanese social movements, youth, labor, disasters, oral narratives, and digital archiving.  </w:t>
            </w:r>
          </w:p>
          <w:p w14:paraId="51934B67" w14:textId="77777777" w:rsidR="00347EF8" w:rsidRPr="003D6B4A" w:rsidRDefault="00347EF8" w:rsidP="00CB08F0">
            <w:pPr>
              <w:rPr>
                <w:rFonts w:asciiTheme="minorHAnsi" w:hAnsiTheme="minorHAnsi" w:cstheme="minorHAnsi"/>
                <w:sz w:val="22"/>
                <w:szCs w:val="22"/>
              </w:rPr>
            </w:pPr>
          </w:p>
        </w:tc>
      </w:tr>
      <w:tr w:rsidR="00347EF8" w14:paraId="47F55432" w14:textId="77777777" w:rsidTr="00190B1F">
        <w:tc>
          <w:tcPr>
            <w:tcW w:w="4798" w:type="dxa"/>
          </w:tcPr>
          <w:p w14:paraId="72E09F46" w14:textId="77777777" w:rsidR="00347EF8" w:rsidRDefault="00FC622D" w:rsidP="00CB08F0">
            <w:pPr>
              <w:rPr>
                <w:rFonts w:asciiTheme="minorHAnsi" w:hAnsiTheme="minorHAnsi" w:cstheme="minorHAnsi"/>
                <w:b/>
                <w:bCs/>
                <w:sz w:val="22"/>
                <w:szCs w:val="22"/>
              </w:rPr>
            </w:pPr>
            <w:r w:rsidRPr="003D6B4A">
              <w:rPr>
                <w:rFonts w:asciiTheme="minorHAnsi" w:hAnsiTheme="minorHAnsi" w:cstheme="minorHAnsi"/>
                <w:b/>
                <w:bCs/>
                <w:sz w:val="22"/>
                <w:szCs w:val="22"/>
              </w:rPr>
              <w:lastRenderedPageBreak/>
              <w:t>Korean Cinema</w:t>
            </w:r>
          </w:p>
          <w:p w14:paraId="146C21AC" w14:textId="77777777" w:rsidR="001354CC" w:rsidRDefault="001354CC" w:rsidP="00CB08F0">
            <w:pPr>
              <w:rPr>
                <w:rFonts w:asciiTheme="minorHAnsi" w:hAnsiTheme="minorHAnsi" w:cstheme="minorHAnsi"/>
                <w:b/>
                <w:bCs/>
                <w:sz w:val="22"/>
                <w:szCs w:val="22"/>
              </w:rPr>
            </w:pPr>
          </w:p>
          <w:p w14:paraId="6AB055AF" w14:textId="13548679" w:rsidR="001354CC" w:rsidRPr="003D6B4A" w:rsidRDefault="001354CC" w:rsidP="00CB08F0">
            <w:pPr>
              <w:rPr>
                <w:rFonts w:asciiTheme="minorHAnsi" w:hAnsiTheme="minorHAnsi" w:cstheme="minorHAnsi"/>
                <w:b/>
                <w:bCs/>
                <w:sz w:val="22"/>
                <w:szCs w:val="22"/>
              </w:rPr>
            </w:pPr>
            <w:r w:rsidRPr="001354CC">
              <w:rPr>
                <w:rFonts w:asciiTheme="minorHAnsi" w:hAnsiTheme="minorHAnsi" w:cstheme="minorHAnsi"/>
                <w:sz w:val="22"/>
                <w:szCs w:val="22"/>
                <w:highlight w:val="yellow"/>
                <w:lang w:val="en-CA"/>
              </w:rPr>
              <w:t xml:space="preserve">Invited by </w:t>
            </w:r>
            <w:proofErr w:type="spellStart"/>
            <w:r w:rsidRPr="001354CC">
              <w:rPr>
                <w:rFonts w:asciiTheme="minorHAnsi" w:hAnsiTheme="minorHAnsi" w:cstheme="minorHAnsi"/>
                <w:sz w:val="22"/>
                <w:szCs w:val="22"/>
                <w:highlight w:val="yellow"/>
                <w:lang w:val="en-CA"/>
              </w:rPr>
              <w:t>Sungshin</w:t>
            </w:r>
            <w:proofErr w:type="spellEnd"/>
            <w:r w:rsidRPr="001354CC">
              <w:rPr>
                <w:rFonts w:asciiTheme="minorHAnsi" w:hAnsiTheme="minorHAnsi" w:cstheme="minorHAnsi"/>
                <w:sz w:val="22"/>
                <w:szCs w:val="22"/>
                <w:highlight w:val="yellow"/>
                <w:lang w:val="en-CA"/>
              </w:rPr>
              <w:t xml:space="preserve"> Kim</w:t>
            </w:r>
          </w:p>
        </w:tc>
        <w:tc>
          <w:tcPr>
            <w:tcW w:w="4798" w:type="dxa"/>
          </w:tcPr>
          <w:p w14:paraId="09D412EA" w14:textId="77777777" w:rsidR="00347EF8" w:rsidRPr="003D6B4A" w:rsidRDefault="00347EF8" w:rsidP="00CB08F0">
            <w:pPr>
              <w:rPr>
                <w:rFonts w:asciiTheme="minorHAnsi" w:hAnsiTheme="minorHAnsi" w:cstheme="minorHAnsi"/>
                <w:sz w:val="22"/>
                <w:szCs w:val="22"/>
              </w:rPr>
            </w:pPr>
          </w:p>
        </w:tc>
        <w:tc>
          <w:tcPr>
            <w:tcW w:w="4799" w:type="dxa"/>
          </w:tcPr>
          <w:p w14:paraId="7BFF5B23" w14:textId="77777777" w:rsidR="00E508E6" w:rsidRPr="003D6B4A" w:rsidRDefault="00E508E6" w:rsidP="00E508E6">
            <w:pPr>
              <w:rPr>
                <w:rFonts w:asciiTheme="minorHAnsi" w:eastAsia="Times New Roman" w:hAnsiTheme="minorHAnsi" w:cstheme="minorHAnsi"/>
                <w:sz w:val="22"/>
                <w:szCs w:val="22"/>
              </w:rPr>
            </w:pPr>
            <w:proofErr w:type="spellStart"/>
            <w:r w:rsidRPr="003D6B4A">
              <w:rPr>
                <w:rFonts w:asciiTheme="minorHAnsi" w:eastAsia="Times New Roman" w:hAnsiTheme="minorHAnsi" w:cstheme="minorHAnsi"/>
                <w:sz w:val="22"/>
                <w:szCs w:val="22"/>
              </w:rPr>
              <w:t>HaeLim</w:t>
            </w:r>
            <w:proofErr w:type="spellEnd"/>
            <w:r w:rsidRPr="003D6B4A">
              <w:rPr>
                <w:rFonts w:asciiTheme="minorHAnsi" w:eastAsia="Times New Roman" w:hAnsiTheme="minorHAnsi" w:cstheme="minorHAnsi"/>
                <w:sz w:val="22"/>
                <w:szCs w:val="22"/>
              </w:rPr>
              <w:t xml:space="preserve"> Suh</w:t>
            </w:r>
          </w:p>
          <w:p w14:paraId="373669DD" w14:textId="77777777" w:rsidR="00E508E6" w:rsidRPr="003D6B4A" w:rsidRDefault="00E508E6" w:rsidP="00E508E6">
            <w:pPr>
              <w:shd w:val="clear" w:color="auto" w:fill="FFFFFF"/>
              <w:rPr>
                <w:rFonts w:asciiTheme="minorHAnsi" w:eastAsia="Times New Roman" w:hAnsiTheme="minorHAnsi" w:cstheme="minorHAnsi"/>
                <w:sz w:val="22"/>
                <w:szCs w:val="22"/>
              </w:rPr>
            </w:pPr>
            <w:r w:rsidRPr="003D6B4A">
              <w:rPr>
                <w:rFonts w:asciiTheme="minorHAnsi" w:eastAsia="Times New Roman" w:hAnsiTheme="minorHAnsi" w:cstheme="minorHAnsi"/>
                <w:sz w:val="22"/>
                <w:szCs w:val="22"/>
              </w:rPr>
              <w:t>Assistant Professor</w:t>
            </w:r>
          </w:p>
          <w:p w14:paraId="0E58465A" w14:textId="460E8CA5" w:rsidR="00E508E6" w:rsidRPr="003D6B4A" w:rsidRDefault="00E508E6" w:rsidP="00E508E6">
            <w:pPr>
              <w:shd w:val="clear" w:color="auto" w:fill="FFFFFF"/>
              <w:rPr>
                <w:rFonts w:asciiTheme="minorHAnsi" w:eastAsia="Times New Roman" w:hAnsiTheme="minorHAnsi" w:cstheme="minorHAnsi"/>
                <w:sz w:val="22"/>
                <w:szCs w:val="22"/>
              </w:rPr>
            </w:pPr>
            <w:r w:rsidRPr="003D6B4A">
              <w:rPr>
                <w:rFonts w:asciiTheme="minorHAnsi" w:eastAsia="Times New Roman" w:hAnsiTheme="minorHAnsi" w:cstheme="minorHAnsi"/>
                <w:sz w:val="22"/>
                <w:szCs w:val="22"/>
              </w:rPr>
              <w:t>Communication, Media &amp; Journalism</w:t>
            </w:r>
          </w:p>
          <w:p w14:paraId="6B8FAF41" w14:textId="726822A0" w:rsidR="00E508E6" w:rsidRPr="003D6B4A" w:rsidRDefault="00E508E6" w:rsidP="00E508E6">
            <w:pPr>
              <w:shd w:val="clear" w:color="auto" w:fill="FFFFFF"/>
              <w:rPr>
                <w:rFonts w:asciiTheme="minorHAnsi" w:eastAsia="Times New Roman" w:hAnsiTheme="minorHAnsi" w:cstheme="minorHAnsi"/>
                <w:sz w:val="22"/>
                <w:szCs w:val="22"/>
              </w:rPr>
            </w:pPr>
            <w:r w:rsidRPr="003D6B4A">
              <w:rPr>
                <w:rFonts w:asciiTheme="minorHAnsi" w:eastAsia="Times New Roman" w:hAnsiTheme="minorHAnsi" w:cstheme="minorHAnsi"/>
                <w:sz w:val="22"/>
                <w:szCs w:val="22"/>
              </w:rPr>
              <w:t>North Georgia University</w:t>
            </w:r>
          </w:p>
          <w:p w14:paraId="47BA0F9A" w14:textId="77777777" w:rsidR="00347EF8" w:rsidRPr="003D6B4A" w:rsidRDefault="00347EF8" w:rsidP="00CB08F0">
            <w:pPr>
              <w:rPr>
                <w:rFonts w:asciiTheme="minorHAnsi" w:hAnsiTheme="minorHAnsi" w:cstheme="minorHAnsi"/>
                <w:sz w:val="22"/>
                <w:szCs w:val="22"/>
              </w:rPr>
            </w:pPr>
          </w:p>
        </w:tc>
      </w:tr>
      <w:tr w:rsidR="00347EF8" w14:paraId="7D1C42E0" w14:textId="77777777" w:rsidTr="00190B1F">
        <w:tc>
          <w:tcPr>
            <w:tcW w:w="4798" w:type="dxa"/>
          </w:tcPr>
          <w:p w14:paraId="08C76CB8" w14:textId="4738B7BE" w:rsidR="00E81E5E" w:rsidRPr="003D6B4A" w:rsidRDefault="00E81E5E" w:rsidP="00E81E5E">
            <w:pPr>
              <w:rPr>
                <w:rFonts w:asciiTheme="minorHAnsi" w:hAnsiTheme="minorHAnsi" w:cstheme="minorHAnsi"/>
                <w:b/>
                <w:sz w:val="22"/>
                <w:szCs w:val="22"/>
              </w:rPr>
            </w:pPr>
            <w:r w:rsidRPr="003D6B4A">
              <w:rPr>
                <w:rFonts w:asciiTheme="minorHAnsi" w:hAnsiTheme="minorHAnsi" w:cstheme="minorHAnsi"/>
                <w:b/>
                <w:sz w:val="22"/>
                <w:szCs w:val="22"/>
              </w:rPr>
              <w:t xml:space="preserve">Connecting STEM Initiatives to Asia </w:t>
            </w:r>
          </w:p>
          <w:p w14:paraId="19733164" w14:textId="77777777" w:rsidR="00347EF8" w:rsidRDefault="00347EF8" w:rsidP="00CB08F0">
            <w:pPr>
              <w:rPr>
                <w:rFonts w:asciiTheme="minorHAnsi" w:hAnsiTheme="minorHAnsi" w:cstheme="minorHAnsi"/>
                <w:sz w:val="22"/>
                <w:szCs w:val="22"/>
              </w:rPr>
            </w:pPr>
          </w:p>
          <w:p w14:paraId="29ABE66B" w14:textId="444BA3CD" w:rsidR="001354CC" w:rsidRPr="003D6B4A" w:rsidRDefault="001354CC" w:rsidP="00CB08F0">
            <w:pPr>
              <w:rPr>
                <w:rFonts w:asciiTheme="minorHAnsi" w:hAnsiTheme="minorHAnsi" w:cstheme="minorHAnsi"/>
                <w:sz w:val="22"/>
                <w:szCs w:val="22"/>
              </w:rPr>
            </w:pPr>
            <w:r w:rsidRPr="001354CC">
              <w:rPr>
                <w:rFonts w:asciiTheme="minorHAnsi" w:hAnsiTheme="minorHAnsi" w:cstheme="minorHAnsi"/>
                <w:sz w:val="22"/>
                <w:szCs w:val="22"/>
                <w:highlight w:val="green"/>
              </w:rPr>
              <w:t xml:space="preserve">Invited by </w:t>
            </w:r>
            <w:proofErr w:type="spellStart"/>
            <w:r w:rsidRPr="001354CC">
              <w:rPr>
                <w:rFonts w:asciiTheme="minorHAnsi" w:hAnsiTheme="minorHAnsi" w:cstheme="minorHAnsi"/>
                <w:sz w:val="22"/>
                <w:szCs w:val="22"/>
                <w:highlight w:val="green"/>
              </w:rPr>
              <w:t>Tsi</w:t>
            </w:r>
            <w:proofErr w:type="spellEnd"/>
            <w:r w:rsidRPr="001354CC">
              <w:rPr>
                <w:rFonts w:asciiTheme="minorHAnsi" w:hAnsiTheme="minorHAnsi" w:cstheme="minorHAnsi"/>
                <w:sz w:val="22"/>
                <w:szCs w:val="22"/>
                <w:highlight w:val="green"/>
              </w:rPr>
              <w:t>-Ming Chiang</w:t>
            </w:r>
          </w:p>
        </w:tc>
        <w:tc>
          <w:tcPr>
            <w:tcW w:w="4798" w:type="dxa"/>
          </w:tcPr>
          <w:p w14:paraId="6EE6D88D" w14:textId="77777777" w:rsidR="005171BD" w:rsidRPr="003D6B4A" w:rsidRDefault="005171BD" w:rsidP="005171BD">
            <w:pPr>
              <w:widowControl w:val="0"/>
              <w:autoSpaceDE w:val="0"/>
              <w:autoSpaceDN w:val="0"/>
              <w:adjustRightInd w:val="0"/>
              <w:jc w:val="both"/>
              <w:rPr>
                <w:rFonts w:asciiTheme="minorHAnsi" w:hAnsiTheme="minorHAnsi" w:cstheme="minorHAnsi"/>
                <w:sz w:val="22"/>
                <w:szCs w:val="22"/>
              </w:rPr>
            </w:pPr>
            <w:r w:rsidRPr="003D6B4A">
              <w:rPr>
                <w:rFonts w:asciiTheme="minorHAnsi" w:hAnsiTheme="minorHAnsi" w:cstheme="minorHAnsi"/>
                <w:sz w:val="22"/>
                <w:szCs w:val="22"/>
              </w:rPr>
              <w:t xml:space="preserve">Faculty members across higher education are committed to the tripartite mission of teaching, research, and service. This mission does not need to be limited to one’s own institution but can be extended internationally so that it not only benefits students from their own classrooms but across the globe.  Teaching physics to Tibetan Monks in India, faculty/student pair research experience in China, and mentoring undergraduate research students from Sri Lanka will be discussed as three specific examples of connecting STEM initiatives to Asia. This session will provide insights into the process of developing these initiatives and the impact of combining high impact practices such as global learning and undergraduate research in students learning. The challenges, possible remedies, and student perspectives on the educational benefits gained will also be discussed. </w:t>
            </w:r>
          </w:p>
          <w:p w14:paraId="42B3720F" w14:textId="77777777" w:rsidR="00347EF8" w:rsidRPr="003D6B4A" w:rsidRDefault="00347EF8" w:rsidP="00CB08F0">
            <w:pPr>
              <w:rPr>
                <w:rFonts w:asciiTheme="minorHAnsi" w:hAnsiTheme="minorHAnsi" w:cstheme="minorHAnsi"/>
                <w:sz w:val="22"/>
                <w:szCs w:val="22"/>
              </w:rPr>
            </w:pPr>
          </w:p>
        </w:tc>
        <w:tc>
          <w:tcPr>
            <w:tcW w:w="4799" w:type="dxa"/>
          </w:tcPr>
          <w:p w14:paraId="7C2C8416" w14:textId="7A3D5A9F" w:rsidR="00757996" w:rsidRPr="003D6B4A" w:rsidRDefault="00757996" w:rsidP="00757996">
            <w:pPr>
              <w:shd w:val="clear" w:color="auto" w:fill="FFFFFF"/>
              <w:rPr>
                <w:rFonts w:asciiTheme="minorHAnsi" w:hAnsiTheme="minorHAnsi" w:cstheme="minorHAnsi"/>
                <w:sz w:val="22"/>
                <w:szCs w:val="22"/>
              </w:rPr>
            </w:pPr>
            <w:proofErr w:type="spellStart"/>
            <w:r w:rsidRPr="003D6B4A">
              <w:rPr>
                <w:rFonts w:asciiTheme="minorHAnsi" w:hAnsiTheme="minorHAnsi" w:cstheme="minorHAnsi"/>
                <w:sz w:val="22"/>
                <w:szCs w:val="22"/>
              </w:rPr>
              <w:t>Hasitha</w:t>
            </w:r>
            <w:proofErr w:type="spellEnd"/>
            <w:r w:rsidRPr="003D6B4A">
              <w:rPr>
                <w:rFonts w:asciiTheme="minorHAnsi" w:hAnsiTheme="minorHAnsi" w:cstheme="minorHAnsi"/>
                <w:sz w:val="22"/>
                <w:szCs w:val="22"/>
              </w:rPr>
              <w:t xml:space="preserve"> </w:t>
            </w:r>
            <w:proofErr w:type="spellStart"/>
            <w:r w:rsidRPr="003D6B4A">
              <w:rPr>
                <w:rFonts w:asciiTheme="minorHAnsi" w:hAnsiTheme="minorHAnsi" w:cstheme="minorHAnsi"/>
                <w:sz w:val="22"/>
                <w:szCs w:val="22"/>
              </w:rPr>
              <w:t>Mahabaduge</w:t>
            </w:r>
            <w:proofErr w:type="spellEnd"/>
          </w:p>
          <w:p w14:paraId="12898803" w14:textId="77777777" w:rsidR="00757996" w:rsidRPr="003D6B4A" w:rsidRDefault="00757996" w:rsidP="00757996">
            <w:pPr>
              <w:shd w:val="clear" w:color="auto" w:fill="FFFFFF"/>
              <w:rPr>
                <w:rFonts w:asciiTheme="minorHAnsi" w:hAnsiTheme="minorHAnsi" w:cstheme="minorHAnsi"/>
                <w:sz w:val="22"/>
                <w:szCs w:val="22"/>
              </w:rPr>
            </w:pPr>
            <w:r w:rsidRPr="003D6B4A">
              <w:rPr>
                <w:rFonts w:asciiTheme="minorHAnsi" w:hAnsiTheme="minorHAnsi" w:cstheme="minorHAnsi"/>
                <w:sz w:val="22"/>
                <w:szCs w:val="22"/>
              </w:rPr>
              <w:t>Associate Professor of Physics</w:t>
            </w:r>
          </w:p>
          <w:p w14:paraId="34661FF6" w14:textId="07B6F2A3" w:rsidR="00E81E5E" w:rsidRPr="003D6B4A" w:rsidRDefault="00757996" w:rsidP="00757996">
            <w:pPr>
              <w:shd w:val="clear" w:color="auto" w:fill="FFFFFF"/>
              <w:rPr>
                <w:rFonts w:asciiTheme="minorHAnsi" w:hAnsiTheme="minorHAnsi" w:cstheme="minorHAnsi"/>
                <w:sz w:val="22"/>
                <w:szCs w:val="22"/>
              </w:rPr>
            </w:pPr>
            <w:r w:rsidRPr="003D6B4A">
              <w:rPr>
                <w:rFonts w:asciiTheme="minorHAnsi" w:hAnsiTheme="minorHAnsi" w:cstheme="minorHAnsi"/>
                <w:sz w:val="22"/>
                <w:szCs w:val="22"/>
              </w:rPr>
              <w:t>Director</w:t>
            </w:r>
            <w:r w:rsidR="00E81E5E" w:rsidRPr="003D6B4A">
              <w:rPr>
                <w:rFonts w:asciiTheme="minorHAnsi" w:hAnsiTheme="minorHAnsi" w:cstheme="minorHAnsi"/>
                <w:sz w:val="22"/>
                <w:szCs w:val="22"/>
              </w:rPr>
              <w:t xml:space="preserve">, </w:t>
            </w:r>
            <w:r w:rsidRPr="003D6B4A">
              <w:rPr>
                <w:rFonts w:asciiTheme="minorHAnsi" w:hAnsiTheme="minorHAnsi" w:cstheme="minorHAnsi"/>
                <w:sz w:val="22"/>
                <w:szCs w:val="22"/>
              </w:rPr>
              <w:t>Vertically Integrated Projects Program</w:t>
            </w:r>
          </w:p>
          <w:p w14:paraId="21D81DD5" w14:textId="2817CED2" w:rsidR="00757996" w:rsidRPr="003D6B4A" w:rsidRDefault="00757996" w:rsidP="00757996">
            <w:pPr>
              <w:shd w:val="clear" w:color="auto" w:fill="FFFFFF"/>
              <w:rPr>
                <w:rFonts w:asciiTheme="minorHAnsi" w:hAnsiTheme="minorHAnsi" w:cstheme="minorHAnsi"/>
                <w:sz w:val="22"/>
                <w:szCs w:val="22"/>
              </w:rPr>
            </w:pPr>
            <w:r w:rsidRPr="003D6B4A">
              <w:rPr>
                <w:rFonts w:asciiTheme="minorHAnsi" w:hAnsiTheme="minorHAnsi" w:cstheme="minorHAnsi"/>
                <w:sz w:val="22"/>
                <w:szCs w:val="22"/>
              </w:rPr>
              <w:t xml:space="preserve">Georgia College &amp; State University. </w:t>
            </w:r>
          </w:p>
          <w:p w14:paraId="5DA9A5D3" w14:textId="77777777" w:rsidR="00757996" w:rsidRPr="003D6B4A" w:rsidRDefault="00757996" w:rsidP="00757996">
            <w:pPr>
              <w:shd w:val="clear" w:color="auto" w:fill="FFFFFF"/>
              <w:rPr>
                <w:rFonts w:asciiTheme="minorHAnsi" w:hAnsiTheme="minorHAnsi" w:cstheme="minorHAnsi"/>
                <w:sz w:val="22"/>
                <w:szCs w:val="22"/>
              </w:rPr>
            </w:pPr>
          </w:p>
          <w:p w14:paraId="6E7C1400" w14:textId="58D99201" w:rsidR="00757996" w:rsidRPr="003D6B4A" w:rsidRDefault="00757996" w:rsidP="00757996">
            <w:pPr>
              <w:shd w:val="clear" w:color="auto" w:fill="FFFFFF"/>
              <w:rPr>
                <w:rFonts w:asciiTheme="minorHAnsi" w:hAnsiTheme="minorHAnsi" w:cstheme="minorHAnsi"/>
                <w:sz w:val="22"/>
                <w:szCs w:val="22"/>
              </w:rPr>
            </w:pPr>
            <w:r w:rsidRPr="003D6B4A">
              <w:rPr>
                <w:rFonts w:asciiTheme="minorHAnsi" w:hAnsiTheme="minorHAnsi" w:cstheme="minorHAnsi"/>
                <w:sz w:val="22"/>
                <w:szCs w:val="22"/>
              </w:rPr>
              <w:t xml:space="preserve">Over the years </w:t>
            </w:r>
            <w:proofErr w:type="spellStart"/>
            <w:r w:rsidRPr="003D6B4A">
              <w:rPr>
                <w:rFonts w:asciiTheme="minorHAnsi" w:hAnsiTheme="minorHAnsi" w:cstheme="minorHAnsi"/>
                <w:sz w:val="22"/>
                <w:szCs w:val="22"/>
              </w:rPr>
              <w:t>Mahabaduge</w:t>
            </w:r>
            <w:proofErr w:type="spellEnd"/>
            <w:r w:rsidRPr="003D6B4A">
              <w:rPr>
                <w:rFonts w:asciiTheme="minorHAnsi" w:hAnsiTheme="minorHAnsi" w:cstheme="minorHAnsi"/>
                <w:sz w:val="22"/>
                <w:szCs w:val="22"/>
              </w:rPr>
              <w:t xml:space="preserve">  has held several fellowships including University System of Georgia Scholarship of Teaching and Learning (USG-</w:t>
            </w:r>
            <w:proofErr w:type="spellStart"/>
            <w:r w:rsidRPr="003D6B4A">
              <w:rPr>
                <w:rFonts w:asciiTheme="minorHAnsi" w:hAnsiTheme="minorHAnsi" w:cstheme="minorHAnsi"/>
                <w:sz w:val="22"/>
                <w:szCs w:val="22"/>
              </w:rPr>
              <w:t>SoTL</w:t>
            </w:r>
            <w:proofErr w:type="spellEnd"/>
            <w:r w:rsidRPr="003D6B4A">
              <w:rPr>
                <w:rFonts w:asciiTheme="minorHAnsi" w:hAnsiTheme="minorHAnsi" w:cstheme="minorHAnsi"/>
                <w:sz w:val="22"/>
                <w:szCs w:val="22"/>
              </w:rPr>
              <w:t xml:space="preserve">) Fellowship and Governor's Teaching Fellowship. Dr. </w:t>
            </w:r>
            <w:proofErr w:type="spellStart"/>
            <w:r w:rsidRPr="003D6B4A">
              <w:rPr>
                <w:rFonts w:asciiTheme="minorHAnsi" w:hAnsiTheme="minorHAnsi" w:cstheme="minorHAnsi"/>
                <w:sz w:val="22"/>
                <w:szCs w:val="22"/>
              </w:rPr>
              <w:t>Mahabaduge</w:t>
            </w:r>
            <w:proofErr w:type="spellEnd"/>
            <w:r w:rsidRPr="003D6B4A">
              <w:rPr>
                <w:rFonts w:asciiTheme="minorHAnsi" w:hAnsiTheme="minorHAnsi" w:cstheme="minorHAnsi"/>
                <w:sz w:val="22"/>
                <w:szCs w:val="22"/>
              </w:rPr>
              <w:t xml:space="preserve"> received the Felton Jenkins, Jr. Hall of Fame Award for Excellence in Teaching in 2020 by the University System of Georgia and was named a Fellow of the International Society for the Scholarship of Teaching and Learning in the same year. Dr. </w:t>
            </w:r>
            <w:proofErr w:type="spellStart"/>
            <w:r w:rsidRPr="003D6B4A">
              <w:rPr>
                <w:rFonts w:asciiTheme="minorHAnsi" w:hAnsiTheme="minorHAnsi" w:cstheme="minorHAnsi"/>
                <w:sz w:val="22"/>
                <w:szCs w:val="22"/>
              </w:rPr>
              <w:t>Mahabaduge’s</w:t>
            </w:r>
            <w:proofErr w:type="spellEnd"/>
            <w:r w:rsidRPr="003D6B4A">
              <w:rPr>
                <w:rFonts w:asciiTheme="minorHAnsi" w:hAnsiTheme="minorHAnsi" w:cstheme="minorHAnsi"/>
                <w:sz w:val="22"/>
                <w:szCs w:val="22"/>
              </w:rPr>
              <w:t xml:space="preserve"> research interests include fabrication and characterization of solar cells and semiconductor physics. Prior to joining Georgia College &amp; State University, Dr. </w:t>
            </w:r>
            <w:proofErr w:type="spellStart"/>
            <w:r w:rsidRPr="003D6B4A">
              <w:rPr>
                <w:rFonts w:asciiTheme="minorHAnsi" w:hAnsiTheme="minorHAnsi" w:cstheme="minorHAnsi"/>
                <w:sz w:val="22"/>
                <w:szCs w:val="22"/>
              </w:rPr>
              <w:t>Mahabaduge</w:t>
            </w:r>
            <w:proofErr w:type="spellEnd"/>
            <w:r w:rsidRPr="003D6B4A">
              <w:rPr>
                <w:rFonts w:asciiTheme="minorHAnsi" w:hAnsiTheme="minorHAnsi" w:cstheme="minorHAnsi"/>
                <w:sz w:val="22"/>
                <w:szCs w:val="22"/>
              </w:rPr>
              <w:t xml:space="preserve"> worked as a postdoctoral researcher at the National Renewable Laboratory (NREL) in Golden Colorado. He was instrumental in setting the world record for the highest efficient flexible Cadmium Telluride solar cell and won NREL Director’s Award for Outstanding Research in 2015. He also worked as a visiting scientist at the Institute of Electrical Engineering – Chinese Academy of Sciences, Beijing China in 2019. Dr. </w:t>
            </w:r>
            <w:proofErr w:type="spellStart"/>
            <w:r w:rsidRPr="003D6B4A">
              <w:rPr>
                <w:rFonts w:asciiTheme="minorHAnsi" w:hAnsiTheme="minorHAnsi" w:cstheme="minorHAnsi"/>
                <w:sz w:val="22"/>
                <w:szCs w:val="22"/>
              </w:rPr>
              <w:t>Mahabaduge</w:t>
            </w:r>
            <w:proofErr w:type="spellEnd"/>
            <w:r w:rsidRPr="003D6B4A">
              <w:rPr>
                <w:rFonts w:asciiTheme="minorHAnsi" w:hAnsiTheme="minorHAnsi" w:cstheme="minorHAnsi"/>
                <w:sz w:val="22"/>
                <w:szCs w:val="22"/>
              </w:rPr>
              <w:t xml:space="preserve"> earned his doctorate in physics from the University of Toledo, Ohio, in 2013. He received his bachelor's degree in computational physics from the University of Colombo, Sri Lanka, in 2007.</w:t>
            </w:r>
          </w:p>
          <w:p w14:paraId="15ABDBCF" w14:textId="77777777" w:rsidR="00347EF8" w:rsidRPr="003D6B4A" w:rsidRDefault="00347EF8" w:rsidP="00CB08F0">
            <w:pPr>
              <w:rPr>
                <w:rFonts w:asciiTheme="minorHAnsi" w:hAnsiTheme="minorHAnsi" w:cstheme="minorHAnsi"/>
                <w:sz w:val="22"/>
                <w:szCs w:val="22"/>
              </w:rPr>
            </w:pPr>
          </w:p>
        </w:tc>
      </w:tr>
      <w:tr w:rsidR="00347EF8" w14:paraId="06CB4290" w14:textId="77777777" w:rsidTr="00190B1F">
        <w:tc>
          <w:tcPr>
            <w:tcW w:w="4798" w:type="dxa"/>
          </w:tcPr>
          <w:p w14:paraId="403E91CC" w14:textId="5369BDDD" w:rsidR="00347EF8" w:rsidRPr="003D6B4A" w:rsidRDefault="00DB548B" w:rsidP="00CB08F0">
            <w:pPr>
              <w:rPr>
                <w:rFonts w:asciiTheme="minorHAnsi" w:hAnsiTheme="minorHAnsi" w:cstheme="minorHAnsi"/>
                <w:b/>
                <w:bCs/>
                <w:sz w:val="22"/>
                <w:szCs w:val="22"/>
              </w:rPr>
            </w:pPr>
            <w:r w:rsidRPr="003D6B4A">
              <w:rPr>
                <w:rFonts w:eastAsia="Times New Roman"/>
                <w:b/>
                <w:bCs/>
                <w:sz w:val="22"/>
                <w:szCs w:val="22"/>
              </w:rPr>
              <w:t>Stories involving China's claims to the South China Sea and their economic and political significance</w:t>
            </w:r>
          </w:p>
        </w:tc>
        <w:tc>
          <w:tcPr>
            <w:tcW w:w="4798" w:type="dxa"/>
          </w:tcPr>
          <w:p w14:paraId="3B6C13DB" w14:textId="77777777" w:rsidR="00347EF8" w:rsidRPr="003D6B4A" w:rsidRDefault="00347EF8" w:rsidP="00CB08F0">
            <w:pPr>
              <w:rPr>
                <w:rFonts w:asciiTheme="minorHAnsi" w:hAnsiTheme="minorHAnsi" w:cstheme="minorHAnsi"/>
                <w:sz w:val="22"/>
                <w:szCs w:val="22"/>
              </w:rPr>
            </w:pPr>
          </w:p>
        </w:tc>
        <w:tc>
          <w:tcPr>
            <w:tcW w:w="4799" w:type="dxa"/>
          </w:tcPr>
          <w:p w14:paraId="7242D816" w14:textId="77777777" w:rsidR="008E2B1C" w:rsidRPr="003D6B4A" w:rsidRDefault="00DB548B" w:rsidP="00DB548B">
            <w:pPr>
              <w:rPr>
                <w:rFonts w:eastAsia="Times New Roman"/>
                <w:szCs w:val="24"/>
              </w:rPr>
            </w:pPr>
            <w:r w:rsidRPr="003D6B4A">
              <w:rPr>
                <w:rFonts w:eastAsia="Times New Roman"/>
                <w:szCs w:val="24"/>
              </w:rPr>
              <w:t xml:space="preserve">Jonathan Leightner </w:t>
            </w:r>
          </w:p>
          <w:p w14:paraId="2F8CFEAA" w14:textId="7C154E7F" w:rsidR="008E2B1C" w:rsidRPr="003D6B4A" w:rsidRDefault="008E2B1C" w:rsidP="00DB548B">
            <w:pPr>
              <w:rPr>
                <w:rFonts w:eastAsia="Times New Roman"/>
                <w:szCs w:val="24"/>
              </w:rPr>
            </w:pPr>
            <w:r w:rsidRPr="003D6B4A">
              <w:rPr>
                <w:rFonts w:eastAsia="Times New Roman"/>
                <w:szCs w:val="24"/>
              </w:rPr>
              <w:t xml:space="preserve">Professor, </w:t>
            </w:r>
            <w:r w:rsidR="00921A7A" w:rsidRPr="003D6B4A">
              <w:rPr>
                <w:rFonts w:eastAsia="Times New Roman"/>
                <w:szCs w:val="24"/>
              </w:rPr>
              <w:t>James M. Hull College of Business</w:t>
            </w:r>
          </w:p>
          <w:p w14:paraId="156ACD7A" w14:textId="6FEE4AB5" w:rsidR="008E2B1C" w:rsidRPr="003D6B4A" w:rsidRDefault="008E2B1C" w:rsidP="00DB548B">
            <w:pPr>
              <w:rPr>
                <w:rFonts w:eastAsia="Times New Roman"/>
                <w:szCs w:val="24"/>
              </w:rPr>
            </w:pPr>
            <w:r w:rsidRPr="003D6B4A">
              <w:rPr>
                <w:rFonts w:eastAsia="Times New Roman"/>
                <w:szCs w:val="24"/>
              </w:rPr>
              <w:lastRenderedPageBreak/>
              <w:t>Augusta University</w:t>
            </w:r>
          </w:p>
          <w:p w14:paraId="23B50721" w14:textId="77777777" w:rsidR="008E2B1C" w:rsidRPr="003D6B4A" w:rsidRDefault="008E2B1C" w:rsidP="00DB548B">
            <w:pPr>
              <w:rPr>
                <w:rFonts w:eastAsia="Times New Roman"/>
                <w:szCs w:val="24"/>
              </w:rPr>
            </w:pPr>
          </w:p>
          <w:p w14:paraId="7B88E7BB" w14:textId="792A81B1" w:rsidR="00DB548B" w:rsidRPr="003D6B4A" w:rsidRDefault="008E2B1C" w:rsidP="00DB548B">
            <w:pPr>
              <w:rPr>
                <w:rFonts w:eastAsia="Times New Roman"/>
                <w:szCs w:val="24"/>
              </w:rPr>
            </w:pPr>
            <w:r w:rsidRPr="003D6B4A">
              <w:rPr>
                <w:rFonts w:eastAsia="Times New Roman"/>
                <w:szCs w:val="24"/>
              </w:rPr>
              <w:t xml:space="preserve">Leightner </w:t>
            </w:r>
            <w:r w:rsidR="00DB548B" w:rsidRPr="003D6B4A">
              <w:rPr>
                <w:rFonts w:eastAsia="Times New Roman"/>
                <w:szCs w:val="24"/>
              </w:rPr>
              <w:t xml:space="preserve">earned his Ph.D. in economic development from the University of North Carolina in 1989.  He taught at the Johns Hopkins University -- Nanjing University Center for Chinese and American Studies in Nanjing, China for 2008-2010, for </w:t>
            </w:r>
            <w:proofErr w:type="spellStart"/>
            <w:r w:rsidR="00DB548B" w:rsidRPr="003D6B4A">
              <w:rPr>
                <w:rFonts w:eastAsia="Times New Roman"/>
                <w:szCs w:val="24"/>
              </w:rPr>
              <w:t>Seikei</w:t>
            </w:r>
            <w:proofErr w:type="spellEnd"/>
            <w:r w:rsidR="00DB548B" w:rsidRPr="003D6B4A">
              <w:rPr>
                <w:rFonts w:eastAsia="Times New Roman"/>
                <w:szCs w:val="24"/>
              </w:rPr>
              <w:t xml:space="preserve"> University in Tokyo, Japan in 2003, and for Chulalongkorn University in Bangkok, Thailand for the summers of 2004-2019 and 2021.  When not teaching in Asia, he teaches at Augusta University in Augusta, Georgia, USA.  He has written 4 books, two of which are on China, and published over 50 peer reviewed articles. He recommends his book, </w:t>
            </w:r>
            <w:r w:rsidR="00DB548B" w:rsidRPr="003D6B4A">
              <w:rPr>
                <w:rFonts w:eastAsia="Times New Roman"/>
                <w:i/>
                <w:iCs/>
                <w:szCs w:val="24"/>
              </w:rPr>
              <w:t>Ethics, Efficiency, and Macroeconomics in China from Mao to Xi.</w:t>
            </w:r>
          </w:p>
          <w:p w14:paraId="5DB86A1A" w14:textId="77777777" w:rsidR="00347EF8" w:rsidRPr="003D6B4A" w:rsidRDefault="00347EF8" w:rsidP="00CB08F0">
            <w:pPr>
              <w:rPr>
                <w:rFonts w:asciiTheme="minorHAnsi" w:hAnsiTheme="minorHAnsi" w:cstheme="minorHAnsi"/>
                <w:sz w:val="22"/>
                <w:szCs w:val="22"/>
              </w:rPr>
            </w:pPr>
          </w:p>
        </w:tc>
      </w:tr>
      <w:tr w:rsidR="00347EF8" w14:paraId="22E17300" w14:textId="77777777" w:rsidTr="00190B1F">
        <w:tc>
          <w:tcPr>
            <w:tcW w:w="4798" w:type="dxa"/>
          </w:tcPr>
          <w:p w14:paraId="3D45C831" w14:textId="77777777" w:rsidR="00347EF8" w:rsidRDefault="00921A7A" w:rsidP="00CB08F0">
            <w:pPr>
              <w:rPr>
                <w:rFonts w:asciiTheme="minorHAnsi" w:hAnsiTheme="minorHAnsi" w:cstheme="minorHAnsi"/>
                <w:b/>
                <w:bCs/>
                <w:sz w:val="22"/>
                <w:szCs w:val="22"/>
              </w:rPr>
            </w:pPr>
            <w:r w:rsidRPr="003D6B4A">
              <w:rPr>
                <w:rFonts w:asciiTheme="minorHAnsi" w:hAnsiTheme="minorHAnsi" w:cstheme="minorHAnsi"/>
                <w:b/>
                <w:bCs/>
                <w:sz w:val="22"/>
                <w:szCs w:val="22"/>
              </w:rPr>
              <w:lastRenderedPageBreak/>
              <w:t>U.S. – China Relations</w:t>
            </w:r>
          </w:p>
          <w:p w14:paraId="480567D4" w14:textId="77777777" w:rsidR="001354CC" w:rsidRDefault="001354CC" w:rsidP="00CB08F0">
            <w:pPr>
              <w:rPr>
                <w:rFonts w:asciiTheme="minorHAnsi" w:hAnsiTheme="minorHAnsi" w:cstheme="minorHAnsi"/>
                <w:b/>
                <w:bCs/>
                <w:sz w:val="22"/>
                <w:szCs w:val="22"/>
              </w:rPr>
            </w:pPr>
          </w:p>
          <w:p w14:paraId="3EC53CFE" w14:textId="549521F2" w:rsidR="001354CC" w:rsidRPr="001354CC" w:rsidRDefault="001354CC" w:rsidP="00CB08F0">
            <w:pPr>
              <w:rPr>
                <w:rFonts w:asciiTheme="minorHAnsi" w:hAnsiTheme="minorHAnsi" w:cstheme="minorHAnsi"/>
                <w:sz w:val="22"/>
                <w:szCs w:val="22"/>
              </w:rPr>
            </w:pPr>
            <w:r w:rsidRPr="001354CC">
              <w:rPr>
                <w:rFonts w:asciiTheme="minorHAnsi" w:hAnsiTheme="minorHAnsi" w:cstheme="minorHAnsi"/>
                <w:sz w:val="22"/>
                <w:szCs w:val="22"/>
                <w:highlight w:val="cyan"/>
              </w:rPr>
              <w:t>Invited by Baogang Guo</w:t>
            </w:r>
          </w:p>
        </w:tc>
        <w:tc>
          <w:tcPr>
            <w:tcW w:w="4798" w:type="dxa"/>
          </w:tcPr>
          <w:p w14:paraId="2FC1BC55" w14:textId="77777777" w:rsidR="00347EF8" w:rsidRPr="003D6B4A" w:rsidRDefault="00347EF8" w:rsidP="00CB08F0">
            <w:pPr>
              <w:rPr>
                <w:rFonts w:asciiTheme="minorHAnsi" w:hAnsiTheme="minorHAnsi" w:cstheme="minorHAnsi"/>
                <w:sz w:val="22"/>
                <w:szCs w:val="22"/>
              </w:rPr>
            </w:pPr>
          </w:p>
        </w:tc>
        <w:tc>
          <w:tcPr>
            <w:tcW w:w="4799" w:type="dxa"/>
          </w:tcPr>
          <w:p w14:paraId="285CE23E" w14:textId="77777777" w:rsidR="00347EF8" w:rsidRPr="003D6B4A" w:rsidRDefault="00921A7A" w:rsidP="00CB08F0">
            <w:pPr>
              <w:rPr>
                <w:rFonts w:asciiTheme="minorHAnsi" w:hAnsiTheme="minorHAnsi" w:cstheme="minorHAnsi"/>
                <w:sz w:val="22"/>
                <w:szCs w:val="22"/>
              </w:rPr>
            </w:pPr>
            <w:proofErr w:type="spellStart"/>
            <w:r w:rsidRPr="003D6B4A">
              <w:rPr>
                <w:rFonts w:asciiTheme="minorHAnsi" w:hAnsiTheme="minorHAnsi" w:cstheme="minorHAnsi"/>
                <w:sz w:val="22"/>
                <w:szCs w:val="22"/>
              </w:rPr>
              <w:t>Yawei</w:t>
            </w:r>
            <w:proofErr w:type="spellEnd"/>
            <w:r w:rsidRPr="003D6B4A">
              <w:rPr>
                <w:rFonts w:asciiTheme="minorHAnsi" w:hAnsiTheme="minorHAnsi" w:cstheme="minorHAnsi"/>
                <w:sz w:val="22"/>
                <w:szCs w:val="22"/>
              </w:rPr>
              <w:t xml:space="preserve"> Liu</w:t>
            </w:r>
          </w:p>
          <w:p w14:paraId="56A7C775" w14:textId="77777777" w:rsidR="003D6B4A" w:rsidRPr="003D6B4A" w:rsidRDefault="003D6B4A" w:rsidP="00CB08F0">
            <w:pPr>
              <w:rPr>
                <w:rFonts w:asciiTheme="minorHAnsi" w:hAnsiTheme="minorHAnsi" w:cstheme="minorHAnsi"/>
                <w:sz w:val="22"/>
                <w:szCs w:val="22"/>
              </w:rPr>
            </w:pPr>
            <w:r w:rsidRPr="003D6B4A">
              <w:rPr>
                <w:rFonts w:asciiTheme="minorHAnsi" w:hAnsiTheme="minorHAnsi" w:cstheme="minorHAnsi"/>
                <w:sz w:val="22"/>
                <w:szCs w:val="22"/>
              </w:rPr>
              <w:t>Senior Advisor, China Focus</w:t>
            </w:r>
          </w:p>
          <w:p w14:paraId="5B83560A" w14:textId="77777777" w:rsidR="003D6B4A" w:rsidRPr="003D6B4A" w:rsidRDefault="003D6B4A" w:rsidP="00CB08F0">
            <w:pPr>
              <w:rPr>
                <w:rFonts w:asciiTheme="minorHAnsi" w:hAnsiTheme="minorHAnsi" w:cstheme="minorHAnsi"/>
                <w:sz w:val="22"/>
                <w:szCs w:val="22"/>
              </w:rPr>
            </w:pPr>
          </w:p>
          <w:p w14:paraId="1C93D1B6" w14:textId="77777777" w:rsidR="003D6B4A" w:rsidRPr="003D6B4A" w:rsidRDefault="003D6B4A" w:rsidP="003D6B4A">
            <w:pPr>
              <w:spacing w:line="336" w:lineRule="atLeast"/>
              <w:textAlignment w:val="baseline"/>
              <w:rPr>
                <w:rFonts w:asciiTheme="minorHAnsi" w:eastAsia="Times New Roman" w:hAnsiTheme="minorHAnsi" w:cstheme="minorHAnsi"/>
                <w:sz w:val="22"/>
                <w:szCs w:val="22"/>
              </w:rPr>
            </w:pPr>
            <w:proofErr w:type="spellStart"/>
            <w:r w:rsidRPr="003D6B4A">
              <w:rPr>
                <w:rFonts w:asciiTheme="minorHAnsi" w:eastAsia="Times New Roman" w:hAnsiTheme="minorHAnsi" w:cstheme="minorHAnsi"/>
                <w:sz w:val="22"/>
                <w:szCs w:val="22"/>
              </w:rPr>
              <w:t>Yawei</w:t>
            </w:r>
            <w:proofErr w:type="spellEnd"/>
            <w:r w:rsidRPr="003D6B4A">
              <w:rPr>
                <w:rFonts w:asciiTheme="minorHAnsi" w:eastAsia="Times New Roman" w:hAnsiTheme="minorHAnsi" w:cstheme="minorHAnsi"/>
                <w:sz w:val="22"/>
                <w:szCs w:val="22"/>
              </w:rPr>
              <w:t xml:space="preserve"> Liu manages the China Focus and has been a member of numerous Carter Center missions to monitor Chinese village, township, and county people's congress deputy elections since 1997. Dr. Liu has written extensively on China's political developments and grassroots democracy, including three edited book series: "Rural Election and Governance in Contemporary China" (Northwestern University Press, Xi'an, 2002 and 2004), "The Political Readers" (China Central Translation Bureau Press, Beijing, 2006), and "Elections &amp; Governance" (Northwestern University Press, Xian, 2009). He is the founder and editor of the China elections and governance </w:t>
            </w:r>
            <w:r w:rsidRPr="003D6B4A">
              <w:rPr>
                <w:rFonts w:asciiTheme="minorHAnsi" w:eastAsia="Times New Roman" w:hAnsiTheme="minorHAnsi" w:cstheme="minorHAnsi"/>
                <w:sz w:val="22"/>
                <w:szCs w:val="22"/>
              </w:rPr>
              <w:lastRenderedPageBreak/>
              <w:t>website </w:t>
            </w:r>
            <w:hyperlink r:id="rId5" w:history="1">
              <w:r w:rsidRPr="003D6B4A">
                <w:rPr>
                  <w:rFonts w:asciiTheme="minorHAnsi" w:eastAsia="Times New Roman" w:hAnsiTheme="minorHAnsi" w:cstheme="minorHAnsi"/>
                  <w:sz w:val="22"/>
                  <w:szCs w:val="22"/>
                  <w:u w:val="single"/>
                  <w:bdr w:val="none" w:sz="0" w:space="0" w:color="auto" w:frame="1"/>
                </w:rPr>
                <w:t>www.chinaelections.org</w:t>
              </w:r>
            </w:hyperlink>
            <w:r w:rsidRPr="003D6B4A">
              <w:rPr>
                <w:rFonts w:asciiTheme="minorHAnsi" w:eastAsia="Times New Roman" w:hAnsiTheme="minorHAnsi" w:cstheme="minorHAnsi"/>
                <w:sz w:val="22"/>
                <w:szCs w:val="22"/>
              </w:rPr>
              <w:t>. Dr. Liu is also co-author of the popular Chinese book "Obama: The Man Who Will Change America" (October 2008).</w:t>
            </w:r>
          </w:p>
          <w:p w14:paraId="09D74792" w14:textId="3329E38D" w:rsidR="003D6B4A" w:rsidRPr="00AD1F54" w:rsidRDefault="003D6B4A" w:rsidP="00AD1F54">
            <w:pPr>
              <w:spacing w:before="96" w:after="270" w:line="336" w:lineRule="atLeast"/>
              <w:textAlignment w:val="baseline"/>
              <w:rPr>
                <w:rFonts w:asciiTheme="minorHAnsi" w:eastAsia="Times New Roman" w:hAnsiTheme="minorHAnsi" w:cstheme="minorHAnsi"/>
                <w:sz w:val="22"/>
                <w:szCs w:val="22"/>
              </w:rPr>
            </w:pPr>
            <w:r w:rsidRPr="003D6B4A">
              <w:rPr>
                <w:rFonts w:asciiTheme="minorHAnsi" w:eastAsia="Times New Roman" w:hAnsiTheme="minorHAnsi" w:cstheme="minorHAnsi"/>
                <w:sz w:val="22"/>
                <w:szCs w:val="22"/>
              </w:rPr>
              <w:t>Dr. Liu is adjunct professor of political science at Emory University and associate director of the China Research Center in Atlanta.</w:t>
            </w:r>
          </w:p>
        </w:tc>
      </w:tr>
    </w:tbl>
    <w:p w14:paraId="0F7EA0FB" w14:textId="77777777" w:rsidR="00CB08F0" w:rsidRPr="00B33BA1" w:rsidRDefault="00CB08F0" w:rsidP="00CB08F0">
      <w:pPr>
        <w:rPr>
          <w:b/>
          <w:bCs/>
        </w:rPr>
      </w:pPr>
    </w:p>
    <w:sectPr w:rsidR="00CB08F0" w:rsidRPr="00B33BA1" w:rsidSect="00B33BA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68C2"/>
    <w:multiLevelType w:val="hybridMultilevel"/>
    <w:tmpl w:val="2E6E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1"/>
    <w:rsid w:val="001354CC"/>
    <w:rsid w:val="00190B1F"/>
    <w:rsid w:val="003214AB"/>
    <w:rsid w:val="00347EF8"/>
    <w:rsid w:val="003D6B4A"/>
    <w:rsid w:val="005171BD"/>
    <w:rsid w:val="00753235"/>
    <w:rsid w:val="00757996"/>
    <w:rsid w:val="00812A48"/>
    <w:rsid w:val="008513ED"/>
    <w:rsid w:val="00893893"/>
    <w:rsid w:val="008E2B1C"/>
    <w:rsid w:val="00921A7A"/>
    <w:rsid w:val="00AD1F54"/>
    <w:rsid w:val="00B33BA1"/>
    <w:rsid w:val="00CB08F0"/>
    <w:rsid w:val="00CB6B13"/>
    <w:rsid w:val="00DB548B"/>
    <w:rsid w:val="00E508E6"/>
    <w:rsid w:val="00E81E5E"/>
    <w:rsid w:val="00FC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438A"/>
  <w15:chartTrackingRefBased/>
  <w15:docId w15:val="{13B588BB-53B7-4C90-93E2-B667C6E3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7EF8"/>
    <w:rPr>
      <w:rFonts w:cs="Calibri"/>
      <w:sz w:val="22"/>
      <w:szCs w:val="22"/>
    </w:rPr>
  </w:style>
  <w:style w:type="character" w:styleId="Hyperlink">
    <w:name w:val="Hyperlink"/>
    <w:basedOn w:val="DefaultParagraphFont"/>
    <w:uiPriority w:val="99"/>
    <w:semiHidden/>
    <w:unhideWhenUsed/>
    <w:rsid w:val="003D6B4A"/>
    <w:rPr>
      <w:color w:val="0000FF"/>
      <w:u w:val="single"/>
    </w:rPr>
  </w:style>
  <w:style w:type="paragraph" w:styleId="ListParagraph">
    <w:name w:val="List Paragraph"/>
    <w:basedOn w:val="Normal"/>
    <w:uiPriority w:val="34"/>
    <w:qFormat/>
    <w:rsid w:val="00CB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2953">
      <w:bodyDiv w:val="1"/>
      <w:marLeft w:val="0"/>
      <w:marRight w:val="0"/>
      <w:marTop w:val="0"/>
      <w:marBottom w:val="0"/>
      <w:divBdr>
        <w:top w:val="none" w:sz="0" w:space="0" w:color="auto"/>
        <w:left w:val="none" w:sz="0" w:space="0" w:color="auto"/>
        <w:bottom w:val="none" w:sz="0" w:space="0" w:color="auto"/>
        <w:right w:val="none" w:sz="0" w:space="0" w:color="auto"/>
      </w:divBdr>
    </w:div>
    <w:div w:id="675229680">
      <w:bodyDiv w:val="1"/>
      <w:marLeft w:val="0"/>
      <w:marRight w:val="0"/>
      <w:marTop w:val="0"/>
      <w:marBottom w:val="0"/>
      <w:divBdr>
        <w:top w:val="none" w:sz="0" w:space="0" w:color="auto"/>
        <w:left w:val="none" w:sz="0" w:space="0" w:color="auto"/>
        <w:bottom w:val="none" w:sz="0" w:space="0" w:color="auto"/>
        <w:right w:val="none" w:sz="0" w:space="0" w:color="auto"/>
      </w:divBdr>
    </w:div>
    <w:div w:id="1030178643">
      <w:bodyDiv w:val="1"/>
      <w:marLeft w:val="0"/>
      <w:marRight w:val="0"/>
      <w:marTop w:val="0"/>
      <w:marBottom w:val="0"/>
      <w:divBdr>
        <w:top w:val="none" w:sz="0" w:space="0" w:color="auto"/>
        <w:left w:val="none" w:sz="0" w:space="0" w:color="auto"/>
        <w:bottom w:val="none" w:sz="0" w:space="0" w:color="auto"/>
        <w:right w:val="none" w:sz="0" w:space="0" w:color="auto"/>
      </w:divBdr>
    </w:div>
    <w:div w:id="1083800865">
      <w:bodyDiv w:val="1"/>
      <w:marLeft w:val="0"/>
      <w:marRight w:val="0"/>
      <w:marTop w:val="0"/>
      <w:marBottom w:val="0"/>
      <w:divBdr>
        <w:top w:val="none" w:sz="0" w:space="0" w:color="auto"/>
        <w:left w:val="none" w:sz="0" w:space="0" w:color="auto"/>
        <w:bottom w:val="none" w:sz="0" w:space="0" w:color="auto"/>
        <w:right w:val="none" w:sz="0" w:space="0" w:color="auto"/>
      </w:divBdr>
    </w:div>
    <w:div w:id="1552571178">
      <w:bodyDiv w:val="1"/>
      <w:marLeft w:val="0"/>
      <w:marRight w:val="0"/>
      <w:marTop w:val="0"/>
      <w:marBottom w:val="0"/>
      <w:divBdr>
        <w:top w:val="none" w:sz="0" w:space="0" w:color="auto"/>
        <w:left w:val="none" w:sz="0" w:space="0" w:color="auto"/>
        <w:bottom w:val="none" w:sz="0" w:space="0" w:color="auto"/>
        <w:right w:val="none" w:sz="0" w:space="0" w:color="auto"/>
      </w:divBdr>
    </w:div>
    <w:div w:id="1976370360">
      <w:bodyDiv w:val="1"/>
      <w:marLeft w:val="0"/>
      <w:marRight w:val="0"/>
      <w:marTop w:val="0"/>
      <w:marBottom w:val="0"/>
      <w:divBdr>
        <w:top w:val="none" w:sz="0" w:space="0" w:color="auto"/>
        <w:left w:val="none" w:sz="0" w:space="0" w:color="auto"/>
        <w:bottom w:val="none" w:sz="0" w:space="0" w:color="auto"/>
        <w:right w:val="none" w:sz="0" w:space="0" w:color="auto"/>
      </w:divBdr>
    </w:div>
    <w:div w:id="20806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naelectio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Kendrick</dc:creator>
  <cp:keywords/>
  <dc:description/>
  <cp:lastModifiedBy>Eric Kendrick</cp:lastModifiedBy>
  <cp:revision>2</cp:revision>
  <dcterms:created xsi:type="dcterms:W3CDTF">2022-02-04T19:46:00Z</dcterms:created>
  <dcterms:modified xsi:type="dcterms:W3CDTF">2022-02-05T22:44:00Z</dcterms:modified>
</cp:coreProperties>
</file>